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Обгрунтування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(відповідно до пункту 4</w:t>
      </w:r>
      <w:r>
        <w:rPr>
          <w:sz w:val="22"/>
          <w:szCs w:val="22"/>
          <w:vertAlign w:val="superscript"/>
        </w:rPr>
        <w:t xml:space="preserve">1 </w:t>
      </w:r>
      <w:r>
        <w:rPr>
          <w:sz w:val="22"/>
          <w:szCs w:val="22"/>
        </w:rPr>
        <w:t>постанови КМУ від 11.10.2016 № 710 «Про ефективне використання державних коштів»)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Процедура закупівлі: </w:t>
      </w:r>
      <w:r>
        <w:rPr>
          <w:sz w:val="22"/>
          <w:szCs w:val="22"/>
        </w:rPr>
        <w:t xml:space="preserve">Відкриті торги </w:t>
      </w:r>
      <w:r>
        <w:rPr>
          <w:rFonts w:eastAsia="Times New Roman" w:cs="Times New Roman"/>
          <w:color w:val="auto"/>
          <w:kern w:val="0"/>
          <w:sz w:val="22"/>
          <w:szCs w:val="22"/>
          <w:lang w:val="uk-UA" w:eastAsia="ar-SA" w:bidi="ar-SA"/>
        </w:rPr>
        <w:t>з особливостями</w:t>
      </w:r>
      <w:r>
        <w:rPr>
          <w:sz w:val="22"/>
          <w:szCs w:val="22"/>
        </w:rPr>
        <w:t>.</w:t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 xml:space="preserve">Назва закупівлі: </w:t>
      </w:r>
      <w:r>
        <w:rPr>
          <w:b w:val="false"/>
          <w:bCs w:val="false"/>
          <w:sz w:val="22"/>
          <w:szCs w:val="22"/>
        </w:rPr>
        <w:t xml:space="preserve">Послуги з </w:t>
      </w:r>
      <w:r>
        <w:rPr>
          <w:b w:val="false"/>
          <w:bCs w:val="false"/>
          <w:sz w:val="22"/>
          <w:szCs w:val="22"/>
          <w:lang w:val="uk-UA" w:eastAsia="zh-CN" w:bidi="ar-SA"/>
        </w:rPr>
        <w:t xml:space="preserve">нанесення  (поточного ремонту)   дорожньої  розмітки     </w:t>
      </w:r>
      <w:r>
        <w:rPr>
          <w:b w:val="false"/>
          <w:bCs w:val="false"/>
          <w:sz w:val="22"/>
          <w:szCs w:val="22"/>
        </w:rPr>
        <w:t xml:space="preserve">(ДК 021:2015 - </w:t>
      </w:r>
      <w:r>
        <w:rPr>
          <w:b w:val="false"/>
          <w:bCs w:val="false"/>
          <w:sz w:val="22"/>
          <w:szCs w:val="22"/>
          <w:lang w:val="uk-UA" w:eastAsia="zh-CN" w:bidi="ar-SA"/>
        </w:rPr>
        <w:t xml:space="preserve">45230000-8 </w:t>
      </w:r>
      <w:r>
        <w:rPr>
          <w:b w:val="false"/>
          <w:bCs w:val="false"/>
          <w:sz w:val="22"/>
          <w:szCs w:val="22"/>
        </w:rPr>
        <w:t>Будівництво трубопроводів, ліній зв’язку та електропередач, шосе, доріг, аеродромів і залізничних доріг; вирівнювання поверхонь)</w:t>
      </w:r>
    </w:p>
    <w:p>
      <w:pPr>
        <w:pStyle w:val="Normal"/>
        <w:jc w:val="both"/>
        <w:rPr/>
      </w:pPr>
      <w:r>
        <w:rPr>
          <w:color w:val="auto"/>
          <w:sz w:val="22"/>
          <w:szCs w:val="22"/>
        </w:rPr>
        <w:t xml:space="preserve">Ідентифікатор закупівлі: </w:t>
      </w:r>
      <w:hyperlink r:id="rId2" w:tgtFrame="_blank">
        <w:r>
          <w:rPr>
            <w:sz w:val="22"/>
            <w:szCs w:val="22"/>
            <w:lang w:val="en-US"/>
          </w:rPr>
          <w:t>UA-2023-09-14-013466-a</w:t>
        </w:r>
      </w:hyperlink>
      <w:r>
        <w:rPr>
          <w:sz w:val="22"/>
          <w:szCs w:val="22"/>
          <w:lang w:val="en-US"/>
        </w:rPr>
        <w:t xml:space="preserve">  </w:t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 xml:space="preserve">Очікувана вартість предмета закупівлі: </w:t>
      </w:r>
      <w:r>
        <w:rPr>
          <w:rStyle w:val="Style15"/>
          <w:rFonts w:eastAsia="Times New Roman" w:cs="Times New Roman"/>
          <w:b w:val="false"/>
          <w:bCs w:val="false"/>
          <w:i w:val="false"/>
          <w:iCs w:val="false"/>
          <w:color w:val="000000"/>
          <w:kern w:val="0"/>
          <w:sz w:val="24"/>
          <w:szCs w:val="24"/>
          <w:shd w:fill="FFFFFF" w:val="clear"/>
          <w:lang w:val="uk-UA" w:eastAsia="ru-RU" w:bidi="ar-SA"/>
        </w:rPr>
        <w:t>417 985</w:t>
      </w:r>
      <w:r>
        <w:rPr>
          <w:rStyle w:val="Style15"/>
          <w:rFonts w:cs="Times New Roman"/>
          <w:b w:val="false"/>
          <w:bCs w:val="false"/>
          <w:i w:val="false"/>
          <w:iCs w:val="false"/>
          <w:color w:val="000000"/>
          <w:sz w:val="24"/>
          <w:szCs w:val="24"/>
          <w:shd w:fill="FFFFFF" w:val="clear"/>
          <w:lang w:val="uk-UA" w:eastAsia="ru-RU"/>
        </w:rPr>
        <w:t>,00</w:t>
      </w:r>
      <w:r>
        <w:rPr>
          <w:rStyle w:val="Style15"/>
          <w:rFonts w:cs="Times New Roman"/>
          <w:b w:val="false"/>
          <w:bCs w:val="false"/>
          <w:i w:val="false"/>
          <w:iCs w:val="false"/>
          <w:color w:val="000000"/>
          <w:sz w:val="22"/>
          <w:szCs w:val="22"/>
          <w:shd w:fill="FFFFFF" w:val="clear"/>
          <w:lang w:val="uk-UA" w:eastAsia="ru-RU"/>
        </w:rPr>
        <w:t xml:space="preserve"> </w:t>
      </w:r>
      <w:r>
        <w:rPr>
          <w:rStyle w:val="Style15"/>
          <w:rFonts w:cs="Times New Roman"/>
          <w:b w:val="false"/>
          <w:bCs w:val="false"/>
          <w:color w:val="000000"/>
          <w:sz w:val="22"/>
          <w:szCs w:val="22"/>
          <w:shd w:fill="FFFFFF" w:val="clear"/>
          <w:lang w:val="uk-UA" w:eastAsia="ru-RU"/>
        </w:rPr>
        <w:t>грн</w:t>
      </w:r>
      <w:r>
        <w:rPr>
          <w:b w:val="false"/>
          <w:bCs w:val="false"/>
          <w:sz w:val="22"/>
          <w:szCs w:val="22"/>
        </w:rPr>
        <w:t xml:space="preserve">. </w:t>
      </w:r>
      <w:r>
        <w:rPr>
          <w:b w:val="false"/>
          <w:bCs w:val="false"/>
          <w:sz w:val="22"/>
          <w:szCs w:val="22"/>
          <w:lang w:val="en-US"/>
        </w:rPr>
        <w:t>(</w:t>
      </w:r>
      <w:r>
        <w:rPr>
          <w:b w:val="false"/>
          <w:bCs w:val="false"/>
          <w:sz w:val="22"/>
          <w:szCs w:val="22"/>
          <w:lang w:val="uk-UA"/>
        </w:rPr>
        <w:t>Очікувана вартість визначена в обсязі, що є економією за результатами проведення попередньої закупівлі на зазначені послуги);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Обгрунтування розміру бюджетного призначення: </w:t>
      </w:r>
      <w:r>
        <w:rPr>
          <w:sz w:val="22"/>
          <w:szCs w:val="22"/>
        </w:rPr>
        <w:t>розмір бюджетного призначення визначений відповідно до бюджету Прилуцької міської територіальної громади на 202</w:t>
      </w:r>
      <w:r>
        <w:rPr>
          <w:rFonts w:eastAsia="Times New Roman" w:cs="Times New Roman"/>
          <w:color w:val="auto"/>
          <w:kern w:val="0"/>
          <w:sz w:val="22"/>
          <w:szCs w:val="22"/>
          <w:lang w:val="uk-UA" w:eastAsia="ar-SA" w:bidi="ar-SA"/>
        </w:rPr>
        <w:t>3</w:t>
      </w:r>
      <w:r>
        <w:rPr>
          <w:sz w:val="22"/>
          <w:szCs w:val="22"/>
        </w:rPr>
        <w:t xml:space="preserve"> рік;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>Обгрунтування  технічних та якісних характеристик предмета закупівлі: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rStyle w:val="Style15"/>
          <w:rFonts w:eastAsia="Times New Roman" w:cs="Times New Roman"/>
          <w:b/>
          <w:bCs/>
          <w:iCs/>
          <w:color w:val="auto"/>
          <w:kern w:val="2"/>
          <w:position w:val="0"/>
          <w:sz w:val="22"/>
          <w:sz w:val="22"/>
          <w:szCs w:val="22"/>
          <w:u w:val="none"/>
          <w:vertAlign w:val="baseline"/>
          <w:lang w:val="en-US" w:eastAsia="ru-RU" w:bidi="ar-SA"/>
        </w:rPr>
        <w:t>1.</w:t>
      </w:r>
      <w:r>
        <w:rPr>
          <w:rStyle w:val="Style15"/>
          <w:rFonts w:eastAsia="Times New Roman" w:cs="Times New Roman"/>
          <w:b/>
          <w:bCs/>
          <w:iCs/>
          <w:color w:val="auto"/>
          <w:kern w:val="2"/>
          <w:position w:val="0"/>
          <w:sz w:val="22"/>
          <w:sz w:val="22"/>
          <w:szCs w:val="22"/>
          <w:u w:val="none"/>
          <w:vertAlign w:val="baseline"/>
          <w:lang w:val="uk-UA" w:eastAsia="ru-RU" w:bidi="ar-SA"/>
        </w:rPr>
        <w:t>1.</w:t>
      </w:r>
      <w:r>
        <w:rPr>
          <w:b w:val="false"/>
          <w:bCs w:val="false"/>
          <w:sz w:val="22"/>
          <w:szCs w:val="22"/>
        </w:rPr>
        <w:t>Терміни надання послуг:</w:t>
      </w:r>
      <w:r>
        <w:rPr>
          <w:b w:val="false"/>
          <w:bCs w:val="false"/>
          <w:sz w:val="22"/>
          <w:szCs w:val="22"/>
          <w:lang w:val="uk-UA"/>
        </w:rPr>
        <w:t xml:space="preserve"> </w:t>
      </w:r>
      <w:r>
        <w:rPr>
          <w:b w:val="false"/>
          <w:bCs w:val="false"/>
          <w:sz w:val="22"/>
          <w:szCs w:val="22"/>
          <w:lang w:val="en-US" w:eastAsia="zxx" w:bidi="zxx"/>
        </w:rPr>
        <w:t>д</w:t>
      </w:r>
      <w:r>
        <w:rPr>
          <w:b w:val="false"/>
          <w:bCs w:val="false"/>
          <w:sz w:val="22"/>
          <w:szCs w:val="22"/>
          <w:lang w:val="uk-UA" w:eastAsia="zxx" w:bidi="zxx"/>
        </w:rPr>
        <w:t xml:space="preserve">о </w:t>
      </w:r>
      <w:r>
        <w:rPr>
          <w:rFonts w:eastAsia="Times New Roman" w:cs="Times New Roman"/>
          <w:b w:val="false"/>
          <w:bCs w:val="false"/>
          <w:color w:val="auto"/>
          <w:kern w:val="0"/>
          <w:sz w:val="22"/>
          <w:szCs w:val="22"/>
          <w:lang w:val="uk-UA" w:eastAsia="zxx" w:bidi="zxx"/>
        </w:rPr>
        <w:t>01 листопада</w:t>
      </w:r>
      <w:r>
        <w:rPr>
          <w:b w:val="false"/>
          <w:bCs w:val="false"/>
          <w:sz w:val="22"/>
          <w:szCs w:val="22"/>
          <w:lang w:val="uk-UA" w:eastAsia="zxx" w:bidi="zxx"/>
        </w:rPr>
        <w:t xml:space="preserve"> </w:t>
      </w:r>
      <w:r>
        <w:rPr>
          <w:b w:val="false"/>
          <w:bCs w:val="false"/>
          <w:sz w:val="22"/>
          <w:szCs w:val="22"/>
          <w:lang w:val="uk-UA"/>
        </w:rPr>
        <w:t xml:space="preserve"> 202</w:t>
      </w:r>
      <w:r>
        <w:rPr>
          <w:b w:val="false"/>
          <w:bCs w:val="false"/>
          <w:sz w:val="22"/>
          <w:szCs w:val="22"/>
          <w:lang w:val="uk-UA" w:eastAsia="zxx" w:bidi="zxx"/>
        </w:rPr>
        <w:t>3</w:t>
      </w:r>
      <w:r>
        <w:rPr>
          <w:b w:val="false"/>
          <w:bCs w:val="false"/>
          <w:sz w:val="22"/>
          <w:szCs w:val="22"/>
          <w:lang w:val="uk-UA"/>
        </w:rPr>
        <w:t xml:space="preserve"> року.</w:t>
      </w:r>
    </w:p>
    <w:p>
      <w:pPr>
        <w:pStyle w:val="Normal"/>
        <w:jc w:val="both"/>
        <w:rPr/>
      </w:pPr>
      <w:r>
        <w:rPr>
          <w:bCs/>
          <w:color w:val="000000"/>
          <w:sz w:val="22"/>
          <w:szCs w:val="22"/>
          <w:lang w:val="uk-UA"/>
        </w:rPr>
        <w:tab/>
      </w:r>
      <w:r>
        <w:rPr>
          <w:b/>
          <w:bCs/>
          <w:color w:val="000000"/>
          <w:sz w:val="22"/>
          <w:szCs w:val="22"/>
          <w:lang w:val="uk-UA"/>
        </w:rPr>
        <w:t>1.2.</w:t>
      </w:r>
      <w:r>
        <w:rPr>
          <w:bCs/>
          <w:color w:val="000000"/>
          <w:sz w:val="22"/>
          <w:szCs w:val="22"/>
          <w:lang w:val="uk-UA"/>
        </w:rPr>
        <w:t>До</w:t>
      </w:r>
      <w:r>
        <w:rPr>
          <w:bCs/>
          <w:color w:val="000000"/>
          <w:sz w:val="22"/>
          <w:szCs w:val="22"/>
        </w:rPr>
        <w:t xml:space="preserve">рожня розмітка </w:t>
      </w:r>
      <w:r>
        <w:rPr>
          <w:color w:val="000000"/>
          <w:sz w:val="22"/>
          <w:szCs w:val="22"/>
        </w:rPr>
        <w:t xml:space="preserve">має зберігати відповідність вимогам п. 4.2 </w:t>
      </w:r>
      <w:r>
        <w:rPr>
          <w:b/>
          <w:bCs/>
          <w:color w:val="000000"/>
          <w:sz w:val="22"/>
          <w:szCs w:val="22"/>
        </w:rPr>
        <w:t>ДСТУ 3587:2022</w:t>
      </w:r>
      <w:r>
        <w:rPr>
          <w:color w:val="auto"/>
          <w:sz w:val="22"/>
          <w:szCs w:val="22"/>
        </w:rPr>
        <w:t xml:space="preserve"> «Безпека дорожнього руху. Автомобільні дороги. Вимоги до експлуатаційного стану»</w:t>
      </w:r>
      <w:r>
        <w:rPr>
          <w:color w:val="000000"/>
          <w:sz w:val="22"/>
          <w:szCs w:val="22"/>
        </w:rPr>
        <w:t xml:space="preserve"> та </w:t>
      </w:r>
      <w:r>
        <w:rPr>
          <w:b/>
          <w:bCs/>
          <w:color w:val="000000"/>
          <w:sz w:val="22"/>
          <w:szCs w:val="22"/>
        </w:rPr>
        <w:t>ДСТУ 2587:20</w:t>
      </w:r>
      <w:r>
        <w:rPr>
          <w:rFonts w:eastAsia="Times New Roman" w:cs="Calibri"/>
          <w:b/>
          <w:bCs/>
          <w:color w:val="000000"/>
          <w:sz w:val="22"/>
          <w:szCs w:val="22"/>
          <w:lang w:val="en-US" w:eastAsia="zh-CN" w:bidi="ar-SA"/>
        </w:rPr>
        <w:t>21</w:t>
      </w:r>
      <w:r>
        <w:rPr>
          <w:b/>
          <w:bCs/>
          <w:color w:val="000000"/>
          <w:sz w:val="22"/>
          <w:szCs w:val="22"/>
        </w:rPr>
        <w:t xml:space="preserve"> «</w:t>
      </w:r>
      <w:r>
        <w:rPr>
          <w:b/>
          <w:bCs/>
          <w:i/>
          <w:iCs/>
          <w:color w:val="000000"/>
          <w:sz w:val="22"/>
          <w:szCs w:val="22"/>
        </w:rPr>
        <w:t>Безпека дорожнього руху</w:t>
      </w:r>
      <w:r>
        <w:rPr>
          <w:color w:val="000000"/>
          <w:sz w:val="22"/>
          <w:szCs w:val="22"/>
        </w:rPr>
        <w:t xml:space="preserve"> «Розмітка дорожня. Загальні технічні вимоги. Методи контролювання. Правила застосування». </w:t>
      </w:r>
      <w:r>
        <w:rPr>
          <w:b/>
          <w:bCs/>
          <w:color w:val="000000"/>
          <w:sz w:val="22"/>
          <w:szCs w:val="22"/>
        </w:rPr>
        <w:t>СОУ 42.1-37641918-117:2014</w:t>
      </w:r>
      <w:r>
        <w:rPr>
          <w:color w:val="000000"/>
          <w:sz w:val="22"/>
          <w:szCs w:val="22"/>
        </w:rPr>
        <w:t xml:space="preserve"> «Безпека дорожнього руху . Розмітка дорожня. Технічні вимоги та методики контролювання показників світлоповертання  та яскравості». </w:t>
      </w:r>
      <w:r>
        <w:rPr>
          <w:b/>
          <w:bCs/>
          <w:color w:val="000000"/>
          <w:sz w:val="22"/>
          <w:szCs w:val="22"/>
        </w:rPr>
        <w:t xml:space="preserve">СОУ 42.1-37641918-095:2012 </w:t>
      </w:r>
      <w:r>
        <w:rPr>
          <w:color w:val="000000"/>
          <w:sz w:val="22"/>
          <w:szCs w:val="22"/>
        </w:rPr>
        <w:t>«Норми витрат матеріалів для виконання робіт по дорожній горизонтальній розмітці автомобільних доріг».</w:t>
      </w:r>
    </w:p>
    <w:p>
      <w:pPr>
        <w:pStyle w:val="Normal"/>
        <w:jc w:val="both"/>
        <w:rPr/>
      </w:pPr>
      <w:r>
        <w:rPr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  <w:lang w:val="uk-UA"/>
        </w:rPr>
        <w:t>1.3.</w:t>
      </w:r>
      <w:r>
        <w:rPr>
          <w:bCs/>
          <w:sz w:val="22"/>
          <w:szCs w:val="22"/>
        </w:rPr>
        <w:t xml:space="preserve">Учасник повинен використовувати при нанесенні розмітки матеріали, які відповідають діючим санітарно-гігієнічним нормам та забезпечують додержання вимог ДСТУ 3587:2022 </w:t>
      </w:r>
      <w:r>
        <w:rPr>
          <w:bCs/>
          <w:color w:val="000000"/>
          <w:sz w:val="22"/>
          <w:szCs w:val="22"/>
        </w:rPr>
        <w:t>«Безпека дорожнього руху. Автомобільні дороги. Вимоги до експлуатаційного стану»</w:t>
      </w:r>
      <w:r>
        <w:rPr>
          <w:bCs/>
          <w:sz w:val="22"/>
          <w:szCs w:val="22"/>
        </w:rPr>
        <w:t>, ДСТУ 2587:20</w:t>
      </w:r>
      <w:r>
        <w:rPr>
          <w:rFonts w:eastAsia="Times New Roman" w:cs="Calibri"/>
          <w:bCs/>
          <w:color w:val="auto"/>
          <w:sz w:val="22"/>
          <w:szCs w:val="22"/>
          <w:lang w:val="en-US" w:eastAsia="zh-CN" w:bidi="ar-SA"/>
        </w:rPr>
        <w:t>21</w:t>
      </w:r>
      <w:r>
        <w:rPr>
          <w:bCs/>
          <w:sz w:val="22"/>
          <w:szCs w:val="22"/>
        </w:rPr>
        <w:t xml:space="preserve"> «Розмітка дорожня. Загальні технічні вимоги. Методи контролювання. Правила застосування».</w:t>
      </w:r>
    </w:p>
    <w:p>
      <w:pPr>
        <w:pStyle w:val="Normal"/>
        <w:jc w:val="both"/>
        <w:rPr/>
      </w:pPr>
      <w:r>
        <w:rPr>
          <w:bCs/>
          <w:sz w:val="22"/>
          <w:szCs w:val="22"/>
        </w:rPr>
        <w:tab/>
      </w:r>
      <w:r>
        <w:rPr/>
        <w:t xml:space="preserve">Фарба повинна бути хорошої якості, гарантійний термін якої не вичерпаний. Гарантійний термін зберігання повинен бути не менше 12 місяців від дати виробництва </w:t>
      </w:r>
      <w:r>
        <w:rPr>
          <w:lang w:val="uk-UA"/>
        </w:rPr>
        <w:t>(надати лист ознайомлення  з наведеною  інформацією).</w:t>
      </w:r>
    </w:p>
    <w:p>
      <w:pPr>
        <w:pStyle w:val="Normal"/>
        <w:jc w:val="both"/>
        <w:rPr/>
      </w:pPr>
      <w:r>
        <w:rPr/>
        <w:tab/>
        <w:t>Функціональна довговічність постійної дорожньої розмітки має відповідати ДСТУ 2587:2021 і бути не менше шести місяців.</w:t>
      </w:r>
    </w:p>
    <w:p>
      <w:pPr>
        <w:pStyle w:val="Normal"/>
        <w:jc w:val="both"/>
        <w:rPr/>
      </w:pPr>
      <w:r>
        <w:rPr/>
        <w:tab/>
        <w:t>Матеріали, які використовують для виготовлення розмітки, в процесі експлуатації не повинні змінювати свої характеристики під дією:</w:t>
      </w:r>
    </w:p>
    <w:p>
      <w:pPr>
        <w:pStyle w:val="NormalWeb"/>
        <w:widowControl w:val="false"/>
        <w:numPr>
          <w:ilvl w:val="0"/>
          <w:numId w:val="2"/>
        </w:numPr>
        <w:shd w:val="clear" w:fill="FFFFFF"/>
        <w:spacing w:before="0" w:after="0"/>
        <w:ind w:left="1280" w:right="0" w:firstLine="7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  <w:t>температури повітря від мінус 30° С до плюс 40° С;</w:t>
      </w:r>
    </w:p>
    <w:p>
      <w:pPr>
        <w:pStyle w:val="NormalWeb"/>
        <w:widowControl w:val="false"/>
        <w:numPr>
          <w:ilvl w:val="0"/>
          <w:numId w:val="2"/>
        </w:numPr>
        <w:shd w:val="clear" w:fill="FFFFFF"/>
        <w:spacing w:before="0" w:after="0"/>
        <w:ind w:left="1280" w:right="0" w:firstLine="7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  <w:t>відносної вологості повітря 98% за температури плюс 25° С;</w:t>
      </w:r>
    </w:p>
    <w:p>
      <w:pPr>
        <w:pStyle w:val="NormalWeb"/>
        <w:widowControl w:val="false"/>
        <w:numPr>
          <w:ilvl w:val="0"/>
          <w:numId w:val="2"/>
        </w:numPr>
        <w:shd w:val="clear" w:fill="FFFFFF"/>
        <w:spacing w:before="0" w:after="0"/>
        <w:ind w:left="1280" w:right="0" w:firstLine="7"/>
        <w:jc w:val="both"/>
        <w:rPr/>
      </w:pPr>
      <w:r>
        <w:rPr>
          <w:bCs/>
          <w:color w:val="000000"/>
          <w:sz w:val="22"/>
          <w:szCs w:val="22"/>
          <w:shd w:fill="FFFFFF" w:val="clear"/>
        </w:rPr>
        <w:t> </w:t>
      </w:r>
      <w:r>
        <w:rPr>
          <w:bCs/>
          <w:color w:val="000000"/>
          <w:sz w:val="22"/>
          <w:szCs w:val="22"/>
          <w:shd w:fill="FFFFFF" w:val="clear"/>
        </w:rPr>
        <w:t>фрикційних матеріалів та/або хлоридів у процесі зимового утримання; сонячної радіації.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Cs/>
          <w:sz w:val="22"/>
          <w:szCs w:val="22"/>
        </w:rPr>
        <w:tab/>
      </w:r>
      <w:r>
        <w:rPr>
          <w:b/>
          <w:bCs/>
          <w:color w:val="auto"/>
          <w:sz w:val="22"/>
          <w:szCs w:val="22"/>
          <w:lang w:val="uk-UA"/>
        </w:rPr>
        <w:t>1.4.Т</w:t>
      </w:r>
      <w:r>
        <w:rPr>
          <w:color w:val="auto"/>
          <w:sz w:val="22"/>
          <w:szCs w:val="22"/>
        </w:rPr>
        <w:t xml:space="preserve">ермін зносостійкості дорожньої розмітки, що нанесена фарбою, повинен </w:t>
      </w:r>
      <w:r>
        <w:rPr>
          <w:rFonts w:eastAsia="Times New Roman" w:cs="Calibri"/>
          <w:color w:val="auto"/>
          <w:sz w:val="22"/>
          <w:szCs w:val="22"/>
          <w:lang w:val="uk-UA" w:eastAsia="zh-CN" w:bidi="ar-SA"/>
        </w:rPr>
        <w:t>відповідати ДСТУ 2587:2021</w:t>
      </w:r>
      <w:r>
        <w:rPr>
          <w:color w:val="auto"/>
          <w:sz w:val="22"/>
          <w:szCs w:val="22"/>
        </w:rPr>
        <w:t>.</w:t>
      </w:r>
    </w:p>
    <w:p>
      <w:pPr>
        <w:pStyle w:val="Normal"/>
        <w:jc w:val="both"/>
        <w:rPr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  <w:lang w:val="uk-UA"/>
        </w:rPr>
        <w:t>1.5.</w:t>
      </w:r>
      <w:r>
        <w:rPr>
          <w:sz w:val="22"/>
          <w:szCs w:val="22"/>
        </w:rPr>
        <w:t xml:space="preserve">До застосування при нанесенні розмітки вулично-дорожньої мережі м. </w:t>
      </w:r>
      <w:r>
        <w:rPr>
          <w:sz w:val="22"/>
          <w:szCs w:val="22"/>
          <w:lang w:val="uk-UA"/>
        </w:rPr>
        <w:t>Прилуки</w:t>
      </w:r>
      <w:r>
        <w:rPr>
          <w:sz w:val="22"/>
          <w:szCs w:val="22"/>
        </w:rPr>
        <w:t xml:space="preserve"> допускаються матеріали, якість яких підтверджена Галузевим сертифікатом відповідності, виданим </w:t>
      </w:r>
      <w:r>
        <w:rPr>
          <w:bCs/>
          <w:sz w:val="22"/>
          <w:szCs w:val="22"/>
        </w:rPr>
        <w:t xml:space="preserve">закладом, який має акредитацію (ліцензію) на право надавати відповідні документи і висновки. </w:t>
      </w:r>
    </w:p>
    <w:p>
      <w:pPr>
        <w:pStyle w:val="Normal"/>
        <w:jc w:val="both"/>
        <w:rPr/>
      </w:pPr>
      <w:r>
        <w:rPr>
          <w:rFonts w:eastAsia="Times New Roman CYR" w:cs="Times New Roman"/>
          <w:b w:val="false"/>
          <w:bCs/>
          <w:i w:val="false"/>
          <w:iCs w:val="false"/>
          <w:sz w:val="22"/>
          <w:szCs w:val="22"/>
          <w:u w:val="none"/>
        </w:rPr>
        <w:tab/>
      </w:r>
      <w:r>
        <w:rPr>
          <w:rFonts w:eastAsia="Times New Roman CYR" w:cs="Times New Roman"/>
          <w:b w:val="false"/>
          <w:bCs w:val="false"/>
          <w:i w:val="false"/>
          <w:iCs w:val="false"/>
          <w:sz w:val="22"/>
          <w:szCs w:val="22"/>
          <w:u w:val="none"/>
        </w:rPr>
        <w:t>Виконавець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 повинен використовувати обладнання та матеріали, які не спричиняють шкоди довкіллю, не допускати забруднення навколишнього середовища паливно-мастильними матеріалами, які використовуються в процесі експлуатації машин та механізмів при наданні послуг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2"/>
          <w:szCs w:val="22"/>
          <w:u w:val="none"/>
          <w:lang w:val="uk-UA"/>
        </w:rPr>
        <w:t>(надати довідку в довільній формі).</w:t>
      </w:r>
    </w:p>
    <w:p>
      <w:pPr>
        <w:pStyle w:val="Normal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ab/>
      </w:r>
      <w:r>
        <w:rPr>
          <w:rFonts w:eastAsia="Times New Roman" w:cs="Times New Roman"/>
          <w:b/>
          <w:bCs/>
          <w:i w:val="false"/>
          <w:iCs w:val="false"/>
          <w:color w:val="000000"/>
          <w:sz w:val="22"/>
          <w:szCs w:val="22"/>
          <w:u w:val="none"/>
          <w:lang w:val="uk-UA"/>
        </w:rPr>
        <w:t>1.</w:t>
      </w:r>
      <w:r>
        <w:rPr>
          <w:rFonts w:eastAsia="Times New Roman" w:cs="Times New Roman"/>
          <w:b/>
          <w:bCs/>
          <w:i w:val="false"/>
          <w:iCs w:val="false"/>
          <w:color w:val="000000"/>
          <w:sz w:val="22"/>
          <w:szCs w:val="22"/>
          <w:u w:val="none"/>
          <w:lang w:val="uk-UA" w:eastAsia="zh-CN" w:bidi="ar-SA"/>
        </w:rPr>
        <w:t>6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2"/>
          <w:szCs w:val="22"/>
          <w:u w:val="none"/>
          <w:lang w:val="uk-UA"/>
        </w:rPr>
        <w:t>.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2"/>
          <w:szCs w:val="22"/>
          <w:u w:val="none"/>
          <w:lang w:val="uk-UA" w:bidi="ar-SA"/>
        </w:rPr>
        <w:t xml:space="preserve">У разі необхідності, місце виконання робіт </w:t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sz w:val="22"/>
          <w:szCs w:val="22"/>
          <w:u w:val="none"/>
          <w:lang w:val="uk-UA" w:eastAsia="zh-CN" w:bidi="ar-SA"/>
        </w:rPr>
        <w:t>Виконавець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2"/>
          <w:szCs w:val="22"/>
          <w:u w:val="none"/>
          <w:lang w:val="uk-UA" w:bidi="ar-SA"/>
        </w:rPr>
        <w:t xml:space="preserve"> повинен облаштувати сигнальною стрічкою та попереджувальними знаками</w:t>
      </w:r>
      <w:r>
        <w:rPr>
          <w:rFonts w:eastAsia="Times New Roman" w:cs="Times New Roman"/>
          <w:b/>
          <w:bCs/>
          <w:i w:val="false"/>
          <w:iCs w:val="false"/>
          <w:color w:val="000000"/>
          <w:sz w:val="22"/>
          <w:szCs w:val="22"/>
          <w:u w:val="none"/>
          <w:lang w:val="uk-UA" w:bidi="ar-SA"/>
        </w:rPr>
        <w:t>.</w:t>
      </w:r>
    </w:p>
    <w:p>
      <w:pPr>
        <w:pStyle w:val="Normal"/>
        <w:jc w:val="both"/>
        <w:rPr/>
      </w:pPr>
      <w:r>
        <w:rPr>
          <w:rFonts w:eastAsia="Times New Roman" w:cs="Times New Roman"/>
          <w:b/>
          <w:bCs/>
          <w:i w:val="false"/>
          <w:iCs w:val="false"/>
          <w:color w:val="000000"/>
          <w:sz w:val="22"/>
          <w:szCs w:val="22"/>
          <w:u w:val="none"/>
          <w:lang w:val="uk-UA" w:bidi="ar-SA"/>
        </w:rPr>
        <w:tab/>
        <w:t>1.</w:t>
      </w:r>
      <w:r>
        <w:rPr>
          <w:rFonts w:eastAsia="Times New Roman" w:cs="Times New Roman"/>
          <w:b/>
          <w:bCs/>
          <w:i w:val="false"/>
          <w:iCs w:val="false"/>
          <w:color w:val="000000"/>
          <w:sz w:val="22"/>
          <w:szCs w:val="22"/>
          <w:u w:val="none"/>
          <w:lang w:val="uk-UA" w:eastAsia="zh-CN" w:bidi="ar-SA"/>
        </w:rPr>
        <w:t>7</w:t>
      </w:r>
      <w:r>
        <w:rPr>
          <w:rFonts w:eastAsia="Times New Roman" w:cs="Times New Roman"/>
          <w:b/>
          <w:bCs/>
          <w:i w:val="false"/>
          <w:iCs w:val="false"/>
          <w:color w:val="000000"/>
          <w:sz w:val="22"/>
          <w:szCs w:val="22"/>
          <w:u w:val="none"/>
          <w:lang w:val="uk-UA" w:bidi="ar-SA"/>
        </w:rPr>
        <w:t>.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2"/>
          <w:szCs w:val="22"/>
          <w:u w:val="none"/>
          <w:lang w:val="uk-UA"/>
        </w:rPr>
        <w:t>Об’єм виконання робіт складає:</w:t>
      </w:r>
    </w:p>
    <w:tbl>
      <w:tblPr>
        <w:tblW w:w="9915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3"/>
        <w:gridCol w:w="900"/>
        <w:gridCol w:w="1142"/>
        <w:gridCol w:w="1245"/>
        <w:gridCol w:w="2265"/>
      </w:tblGrid>
      <w:tr>
        <w:trPr>
          <w:trHeight w:val="570" w:hRule="atLeast"/>
        </w:trPr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Найменування предмета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закупівлі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Од.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виміру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Кількість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Ціна за одиницю з ПДВ, грн.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Вартість предмета закупівлі,  грн.</w:t>
            </w:r>
          </w:p>
        </w:tc>
      </w:tr>
      <w:tr>
        <w:trPr>
          <w:trHeight w:val="519" w:hRule="atLeast"/>
          <w:cantSplit w:val="true"/>
        </w:trPr>
        <w:tc>
          <w:tcPr>
            <w:tcW w:w="4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BodyTextIndent2"/>
              <w:widowControl w:val="false"/>
              <w:spacing w:lineRule="auto" w:line="240" w:before="0" w:after="120"/>
              <w:ind w:left="0" w:right="0" w:hanging="0"/>
              <w:rPr/>
            </w:pPr>
            <w:r>
              <w:rPr>
                <w:sz w:val="22"/>
                <w:szCs w:val="22"/>
              </w:rPr>
              <w:t xml:space="preserve">Нанесення на поверхню доріг білою фарбою </w:t>
            </w:r>
            <w:r>
              <w:rPr>
                <w:rFonts w:eastAsia="Times New Roman" w:cs="Calibri"/>
                <w:color w:val="auto"/>
                <w:sz w:val="22"/>
                <w:szCs w:val="22"/>
                <w:lang w:val="uk-UA" w:eastAsia="zh-CN" w:bidi="ar-SA"/>
              </w:rPr>
              <w:t>пішохідних</w:t>
            </w:r>
            <w:r>
              <w:rPr>
                <w:sz w:val="22"/>
                <w:szCs w:val="22"/>
              </w:rPr>
              <w:t xml:space="preserve"> переходів  1.14.1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BodyTextIndent2"/>
              <w:widowControl w:val="false"/>
              <w:spacing w:lineRule="auto" w:line="240" w:before="0" w:after="120"/>
              <w:rPr/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17"/>
              <w:widowControl w:val="false"/>
              <w:spacing w:lineRule="auto" w:line="240" w:before="0" w:after="120"/>
              <w:ind w:left="18" w:right="0" w:hanging="125"/>
              <w:jc w:val="center"/>
              <w:rPr/>
            </w:pPr>
            <w:r>
              <w:rPr>
                <w:rFonts w:eastAsia="Times New Roman" w:cs="Times New Roman"/>
                <w:color w:val="auto"/>
                <w:sz w:val="22"/>
                <w:szCs w:val="22"/>
                <w:lang w:val="uk-UA" w:eastAsia="zxx" w:bidi="zxx"/>
              </w:rPr>
              <w:t>1</w:t>
            </w:r>
            <w:r>
              <w:rPr>
                <w:rFonts w:eastAsia="Times New Roman" w:cs="Times New Roman"/>
                <w:color w:val="auto"/>
                <w:sz w:val="22"/>
                <w:szCs w:val="22"/>
                <w:lang w:val="en-US" w:eastAsia="zxx" w:bidi="zxx"/>
              </w:rPr>
              <w:t>670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519" w:hRule="atLeast"/>
          <w:cantSplit w:val="true"/>
        </w:trPr>
        <w:tc>
          <w:tcPr>
            <w:tcW w:w="76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BodyTextIndent2"/>
              <w:widowControl w:val="false"/>
              <w:spacing w:lineRule="auto" w:line="240" w:before="0" w:after="120"/>
              <w:jc w:val="righ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Всього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750" w:leader="none"/>
          <w:tab w:val="left" w:pos="765" w:leader="none"/>
          <w:tab w:val="left" w:pos="1125" w:leader="none"/>
        </w:tabs>
        <w:suppressAutoHyphens w:val="false"/>
        <w:spacing w:lineRule="auto" w:line="240" w:before="0" w:after="0"/>
        <w:ind w:left="-30" w:right="0" w:firstLine="60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0"/>
          <w:szCs w:val="20"/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0"/>
          <w:szCs w:val="20"/>
          <w:u w:val="none"/>
        </w:rPr>
      </w:r>
    </w:p>
    <w:p>
      <w:pPr>
        <w:pStyle w:val="Normal"/>
        <w:jc w:val="both"/>
        <w:rPr/>
      </w:pPr>
      <w:r>
        <w:rPr>
          <w:b w:val="false"/>
          <w:bCs w:val="false"/>
          <w:sz w:val="27"/>
          <w:szCs w:val="27"/>
          <w:u w:val="none"/>
        </w:rPr>
        <w:tab/>
      </w:r>
      <w:r>
        <w:rPr>
          <w:b w:val="false"/>
          <w:bCs w:val="false"/>
          <w:sz w:val="22"/>
          <w:szCs w:val="22"/>
          <w:u w:val="none"/>
        </w:rPr>
        <w:t>П</w:t>
      </w:r>
      <w:r>
        <w:rPr>
          <w:b w:val="false"/>
          <w:bCs w:val="false"/>
          <w:sz w:val="22"/>
          <w:szCs w:val="22"/>
          <w:u w:val="none"/>
          <w:lang w:val="uk-UA"/>
        </w:rPr>
        <w:t>ерелік місць та  послуги по видах робіт вказуються Замовником у т.ч. Згідно приписів Національної поліції, розроблених проектів по зміні ОДР на вулично-шляховій мережі м.Прилуки, на підставі Актів комісійного обстеження, прийняття нових законодавчих актів.</w:t>
      </w:r>
    </w:p>
    <w:p>
      <w:pPr>
        <w:pStyle w:val="Normal"/>
        <w:ind w:left="0" w:right="0" w:firstLine="690"/>
        <w:jc w:val="both"/>
        <w:rPr>
          <w:rFonts w:cs="Times New Roman"/>
          <w:b w:val="false"/>
          <w:b w:val="false"/>
          <w:bCs w:val="false"/>
          <w:i w:val="false"/>
          <w:i w:val="false"/>
          <w:iCs w:val="false"/>
          <w:color w:val="auto"/>
          <w:sz w:val="22"/>
          <w:szCs w:val="22"/>
          <w:lang w:val="uk-UA" w:eastAsia="uk-UA" w:bidi="ar-SA"/>
        </w:rPr>
      </w:pPr>
      <w:r>
        <w:rPr>
          <w:rFonts w:cs="Times New Roman"/>
          <w:b w:val="false"/>
          <w:bCs w:val="false"/>
          <w:i w:val="false"/>
          <w:iCs w:val="false"/>
          <w:color w:val="auto"/>
          <w:sz w:val="22"/>
          <w:szCs w:val="22"/>
          <w:lang w:val="uk-UA" w:eastAsia="uk-UA" w:bidi="ar-SA"/>
        </w:rPr>
        <w:t>1.9.У разі виявлення Замовником при візуальному обстеженні, неякісного виконання послуг Виконавцем, про що представниками Замовника за результатами перевірки складається акт - претензія, Замовник не сплачує учаснику за неякісно виконані послуги (згідно складеного акту — претензії).</w:t>
      </w:r>
    </w:p>
    <w:p>
      <w:pPr>
        <w:pStyle w:val="Normal"/>
        <w:widowControl/>
        <w:suppressAutoHyphens w:val="true"/>
        <w:bidi w:val="0"/>
        <w:ind w:left="0" w:right="0" w:firstLine="68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1.10.Ціну пропозиції слід визначати відповідно до вимог технічного завдання щодо термінів закінчення надання робіт/послуг, технології надання робіт/послуг, з дотриманням діючих норм і правил експлуатації техніки і безпечних умов праці. </w:t>
      </w:r>
    </w:p>
    <w:p>
      <w:pPr>
        <w:pStyle w:val="1"/>
        <w:bidi w:val="0"/>
        <w:ind w:left="0" w:righ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Вартість пропозиції та всі інші ціни повинні бути чітко визначені. </w:t>
      </w:r>
    </w:p>
    <w:p>
      <w:pPr>
        <w:pStyle w:val="1"/>
        <w:bidi w:val="0"/>
        <w:spacing w:lineRule="exact" w:line="227"/>
        <w:ind w:left="0" w:right="0" w:firstLine="426"/>
        <w:jc w:val="both"/>
        <w:rPr/>
      </w:pPr>
      <w:r>
        <w:rPr>
          <w:rStyle w:val="32"/>
          <w:rFonts w:cs="Times New Roman"/>
          <w:iCs/>
          <w:color w:val="000000"/>
          <w:kern w:val="2"/>
          <w:sz w:val="22"/>
          <w:szCs w:val="22"/>
          <w:shd w:fill="FFFFFF" w:val="clear"/>
          <w:lang w:val="uk-UA" w:bidi="ar-SA"/>
        </w:rPr>
        <w:t>Пропозиція учасника, в ціну якої включені будь-які витрати, понесені ним у процесі здійснення процедури закупівлі та укладання договору про закупівлю, відхиляється замовником.</w:t>
      </w:r>
    </w:p>
    <w:p>
      <w:pPr>
        <w:pStyle w:val="11"/>
        <w:spacing w:lineRule="auto" w:line="240"/>
        <w:ind w:left="34" w:right="113" w:firstLine="426"/>
        <w:jc w:val="both"/>
        <w:rPr>
          <w:sz w:val="22"/>
          <w:szCs w:val="22"/>
        </w:rPr>
      </w:pPr>
      <w:r>
        <w:rPr>
          <w:sz w:val="22"/>
          <w:szCs w:val="22"/>
        </w:rPr>
        <w:t>Ціна тендерної пропозиції вказується з ПДВ (стосується Учасників, які є платниками ПДВ) та підтверджується відповідними розрахунками.</w:t>
      </w:r>
    </w:p>
    <w:p>
      <w:pPr>
        <w:pStyle w:val="11"/>
        <w:spacing w:lineRule="auto" w:line="240"/>
        <w:ind w:left="34" w:right="113" w:firstLine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Документальне підтвердження (надається в складі тендерної пропозиції)надання послуг, що запропоновані учасником вимогам тендерної документації повинно містити:</w:t>
      </w:r>
    </w:p>
    <w:p>
      <w:pPr>
        <w:pStyle w:val="11"/>
        <w:spacing w:lineRule="auto" w:line="240"/>
        <w:ind w:left="34" w:right="113" w:firstLine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-розрахунок твердої договірної ціни пропозиції (повинна бути розрахована відповідно до Настанови з визначення вартості будівництва0;</w:t>
      </w:r>
    </w:p>
    <w:p>
      <w:pPr>
        <w:pStyle w:val="11"/>
        <w:spacing w:lineRule="auto" w:line="240"/>
        <w:ind w:left="34" w:right="113" w:firstLine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-зведений кошторис;</w:t>
      </w:r>
    </w:p>
    <w:p>
      <w:pPr>
        <w:pStyle w:val="11"/>
        <w:spacing w:lineRule="auto" w:line="240"/>
        <w:ind w:left="34" w:right="113" w:firstLine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-локальний кошторис з розрахунками одиничної вартості;</w:t>
      </w:r>
    </w:p>
    <w:p>
      <w:pPr>
        <w:pStyle w:val="11"/>
        <w:spacing w:lineRule="auto" w:line="240"/>
        <w:ind w:left="34" w:right="113" w:firstLine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-дефектний акт;</w:t>
      </w:r>
    </w:p>
    <w:p>
      <w:pPr>
        <w:pStyle w:val="11"/>
        <w:spacing w:lineRule="auto" w:line="240"/>
        <w:ind w:left="34" w:right="113" w:firstLine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-підсумкова відомість ресурсів;</w:t>
      </w:r>
    </w:p>
    <w:p>
      <w:pPr>
        <w:pStyle w:val="11"/>
        <w:spacing w:lineRule="auto" w:line="240"/>
        <w:ind w:left="34" w:right="113" w:firstLine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-пояснювальна записка;</w:t>
      </w:r>
    </w:p>
    <w:p>
      <w:pPr>
        <w:pStyle w:val="11"/>
        <w:spacing w:lineRule="auto" w:line="240"/>
        <w:ind w:left="34" w:right="113" w:firstLine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-розрахунок загальновиробничих витрат;</w:t>
      </w:r>
    </w:p>
    <w:p>
      <w:pPr>
        <w:pStyle w:val="11"/>
        <w:spacing w:lineRule="auto" w:line="240"/>
        <w:ind w:left="34" w:right="113" w:firstLine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-об’єктний кошторис.</w:t>
      </w:r>
    </w:p>
    <w:p>
      <w:pPr>
        <w:pStyle w:val="11"/>
        <w:spacing w:lineRule="auto" w:line="240"/>
        <w:ind w:left="34" w:right="113" w:firstLine="426"/>
        <w:jc w:val="both"/>
        <w:rPr/>
      </w:pPr>
      <w:r>
        <w:rPr>
          <w:color w:val="auto"/>
          <w:sz w:val="22"/>
          <w:szCs w:val="22"/>
        </w:rPr>
        <w:t xml:space="preserve">Ціна тендерної пропозиції (договірна ціна) учасника повинна бути розрахована відповідно до діючих кошторисних норм України у будівництві та виконана у програмному комплексі АВК-5 або у програмному комплексі, який взаємодіє з ним в частині передачі кошторисної документації та розрахунків договірних цін (надається замовникові у форматі </w:t>
      </w:r>
      <w:r>
        <w:rPr>
          <w:color w:val="auto"/>
          <w:sz w:val="22"/>
          <w:szCs w:val="22"/>
          <w:lang w:val="en-US"/>
        </w:rPr>
        <w:t>PDF</w:t>
      </w:r>
      <w:r>
        <w:rPr>
          <w:color w:val="auto"/>
          <w:sz w:val="22"/>
          <w:szCs w:val="22"/>
          <w:lang w:val="uk-UA"/>
        </w:rPr>
        <w:t>)</w:t>
      </w:r>
      <w:r>
        <w:rPr>
          <w:color w:val="auto"/>
          <w:sz w:val="22"/>
          <w:szCs w:val="22"/>
          <w:lang w:val="en-US"/>
        </w:rPr>
        <w:t>.</w:t>
      </w:r>
    </w:p>
    <w:p>
      <w:pPr>
        <w:pStyle w:val="Normal"/>
        <w:jc w:val="both"/>
        <w:rPr>
          <w:sz w:val="22"/>
          <w:szCs w:val="22"/>
        </w:rPr>
      </w:pPr>
      <w:r>
        <w:rPr>
          <w:rStyle w:val="32"/>
          <w:rFonts w:eastAsia="Times New Roman" w:cs="Times New Roman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shd w:fill="FFFFFF" w:val="clear"/>
          <w:lang w:val="uk-UA" w:eastAsia="uk-UA" w:bidi="ar-SA"/>
        </w:rPr>
        <w:tab/>
        <w:t xml:space="preserve">Учасник визначений переможцем процедури закупівлі у строк, що не перевищує чотири дні </w:t>
      </w:r>
      <w:r>
        <w:rPr>
          <w:rStyle w:val="32"/>
          <w:rFonts w:eastAsia="Times New Roman" w:cs="Times New Roman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shd w:fill="FFFFFF" w:val="clear"/>
          <w:lang w:val="uk-UA" w:eastAsia="en-US" w:bidi="ar-SA"/>
        </w:rPr>
        <w:t xml:space="preserve">з дати оприлюднення в електронній системі закупівель повідомлення про намір укласти договір про закупівлю </w:t>
      </w:r>
      <w:r>
        <w:rPr>
          <w:rStyle w:val="32"/>
          <w:rFonts w:eastAsia="Times New Roman" w:cs="Times New Roman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shd w:fill="FFFFFF" w:val="clear"/>
          <w:lang w:val="uk-UA" w:eastAsia="uk-UA" w:bidi="ar-SA"/>
        </w:rPr>
        <w:t>завантажує до електронної системи розрахунок ціни (у форматі pdf) на суму, з якою переміг в електронному аукціоні, виготовленому у відповідності до вимог цього додатку.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Начальник управління житлово-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комунального господарства</w:t>
        <w:tab/>
        <w:tab/>
        <w:tab/>
        <w:tab/>
        <w:tab/>
        <w:tab/>
        <w:tab/>
        <w:tab/>
        <w:t>О.С.Созінов</w:t>
      </w:r>
    </w:p>
    <w:p>
      <w:pPr>
        <w:pStyle w:val="Normal"/>
        <w:ind w:firstLine="690"/>
        <w:jc w:val="center"/>
        <w:rPr>
          <w:sz w:val="26"/>
          <w:szCs w:val="26"/>
        </w:rPr>
      </w:pPr>
      <w:r>
        <w:rPr/>
      </w:r>
    </w:p>
    <w:sectPr>
      <w:type w:val="nextPage"/>
      <w:pgSz w:w="11906" w:h="16838"/>
      <w:pgMar w:left="1417" w:right="567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2583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uk-UA" w:eastAsia="ar-SA" w:bidi="ar-SA"/>
    </w:rPr>
  </w:style>
  <w:style w:type="paragraph" w:styleId="3">
    <w:name w:val="Heading 3"/>
    <w:basedOn w:val="Normal"/>
    <w:next w:val="Style17"/>
    <w:link w:val="30"/>
    <w:qFormat/>
    <w:rsid w:val="0052583c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qFormat/>
    <w:rsid w:val="0052583c"/>
    <w:rPr>
      <w:rFonts w:ascii="Times New Roman" w:hAnsi="Times New Roman" w:eastAsia="Times New Roman" w:cs="Times New Roman"/>
      <w:b/>
      <w:bCs/>
      <w:sz w:val="27"/>
      <w:szCs w:val="27"/>
      <w:lang w:val="uk-UA" w:eastAsia="ar-SA"/>
    </w:rPr>
  </w:style>
  <w:style w:type="character" w:styleId="Style13">
    <w:name w:val="Интернет-ссылка"/>
    <w:rsid w:val="0052583c"/>
    <w:rPr>
      <w:color w:val="000080"/>
      <w:u w:val="single"/>
    </w:rPr>
  </w:style>
  <w:style w:type="character" w:styleId="Style14" w:customStyle="1">
    <w:name w:val="Основной текст Знак"/>
    <w:basedOn w:val="DefaultParagraphFont"/>
    <w:link w:val="a0"/>
    <w:uiPriority w:val="99"/>
    <w:semiHidden/>
    <w:qFormat/>
    <w:rsid w:val="0052583c"/>
    <w:rPr>
      <w:rFonts w:ascii="Times New Roman" w:hAnsi="Times New Roman" w:eastAsia="Times New Roman" w:cs="Times New Roman"/>
      <w:sz w:val="24"/>
      <w:szCs w:val="24"/>
      <w:lang w:val="uk-UA" w:eastAsia="ar-SA"/>
    </w:rPr>
  </w:style>
  <w:style w:type="character" w:styleId="2" w:customStyle="1">
    <w:name w:val="Основной шрифт абзаца2"/>
    <w:qFormat/>
    <w:rsid w:val="001125fb"/>
    <w:rPr/>
  </w:style>
  <w:style w:type="character" w:styleId="Style15">
    <w:name w:val="Основной шрифт абзаца"/>
    <w:qFormat/>
    <w:rPr/>
  </w:style>
  <w:style w:type="character" w:styleId="32">
    <w:name w:val="Основной шрифт абзаца3"/>
    <w:qFormat/>
    <w:rPr/>
  </w:style>
  <w:style w:type="character" w:styleId="WW8Num2z0">
    <w:name w:val="WW8Num2z0"/>
    <w:qFormat/>
    <w:rPr>
      <w:rFonts w:ascii="Symbol" w:hAnsi="Symbol" w:cs="Symbol"/>
      <w:color w:val="000000"/>
      <w:sz w:val="20"/>
      <w:szCs w:val="22"/>
      <w:shd w:fill="FFFFFF" w:val="clear"/>
    </w:rPr>
  </w:style>
  <w:style w:type="character" w:styleId="WW8Num2z1">
    <w:name w:val="WW8Num2z1"/>
    <w:qFormat/>
    <w:rPr>
      <w:rFonts w:ascii="Courier New" w:hAnsi="Courier New" w:cs="Courier New"/>
      <w:sz w:val="20"/>
    </w:rPr>
  </w:style>
  <w:style w:type="character" w:styleId="WW8Num2z2">
    <w:name w:val="WW8Num2z2"/>
    <w:qFormat/>
    <w:rPr>
      <w:rFonts w:ascii="Wingdings" w:hAnsi="Wingdings" w:cs="Wingdings"/>
      <w:sz w:val="20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link w:val="a6"/>
    <w:uiPriority w:val="99"/>
    <w:semiHidden/>
    <w:unhideWhenUsed/>
    <w:rsid w:val="0052583c"/>
    <w:pPr>
      <w:spacing w:before="0" w:after="12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rsid w:val="0052583c"/>
    <w:pPr>
      <w:spacing w:before="280" w:after="280"/>
    </w:pPr>
    <w:rPr/>
  </w:style>
  <w:style w:type="paragraph" w:styleId="Standard" w:customStyle="1">
    <w:name w:val="Standard"/>
    <w:qFormat/>
    <w:rsid w:val="0052583c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  <w:style w:type="paragraph" w:styleId="Style21" w:customStyle="1">
    <w:name w:val="Содержимое таблицы"/>
    <w:basedOn w:val="Normal"/>
    <w:qFormat/>
    <w:rsid w:val="001125fb"/>
    <w:pPr>
      <w:widowControl w:val="false"/>
      <w:suppressLineNumbers/>
    </w:pPr>
    <w:rPr>
      <w:rFonts w:eastAsia="Lucida Sans Unicode" w:cs="Mangal"/>
      <w:kern w:val="2"/>
      <w:sz w:val="28"/>
      <w:lang w:eastAsia="hi-IN" w:bidi="hi-IN"/>
    </w:rPr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Default">
    <w:name w:val="Default"/>
    <w:basedOn w:val="Normal"/>
    <w:qFormat/>
    <w:pPr>
      <w:suppressAutoHyphens w:val="true"/>
      <w:bidi w:val="0"/>
    </w:pPr>
    <w:rPr>
      <w:rFonts w:ascii="Times New Roman" w:hAnsi="Times New Roman" w:eastAsia="Times New Roman" w:cs="Times New Roman"/>
      <w:color w:val="000000"/>
      <w:szCs w:val="24"/>
      <w:lang w:val="ru-RU" w:bidi="hi-IN"/>
    </w:rPr>
  </w:style>
  <w:style w:type="paragraph" w:styleId="1">
    <w:name w:val="Без интервала1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Times New Roman" w:hAnsi="Times New Roman" w:eastAsia="Times New Roman" w:cs="Mangal"/>
      <w:color w:val="auto"/>
      <w:kern w:val="0"/>
      <w:sz w:val="24"/>
      <w:szCs w:val="24"/>
      <w:lang w:val="ru-RU" w:eastAsia="zh-CN" w:bidi="hi-IN"/>
    </w:rPr>
  </w:style>
  <w:style w:type="paragraph" w:styleId="11">
    <w:name w:val="Обычный1"/>
    <w:qFormat/>
    <w:pPr>
      <w:widowControl w:val="false"/>
      <w:suppressAutoHyphens w:val="true"/>
      <w:overflowPunct w:val="false"/>
      <w:bidi w:val="0"/>
      <w:snapToGrid w:val="false"/>
      <w:spacing w:lineRule="auto" w:line="300" w:before="0" w:after="0"/>
      <w:ind w:left="0" w:right="0" w:firstLine="52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uk-UA" w:eastAsia="zh-CN" w:bidi="ar-SA"/>
    </w:rPr>
  </w:style>
  <w:style w:type="paragraph" w:styleId="Style23">
    <w:name w:val="Абзац списка"/>
    <w:basedOn w:val="Standard"/>
    <w:qFormat/>
    <w:pPr>
      <w:ind w:left="720" w:right="0" w:hanging="0"/>
    </w:pPr>
    <w:rPr/>
  </w:style>
  <w:style w:type="paragraph" w:styleId="Style24">
    <w:name w:val="Обычный (веб)"/>
    <w:basedOn w:val="Normal"/>
    <w:qFormat/>
    <w:pPr>
      <w:suppressAutoHyphens w:val="false"/>
      <w:spacing w:before="280" w:after="280"/>
    </w:pPr>
    <w:rPr>
      <w:szCs w:val="24"/>
      <w:lang w:val="ru-RU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right="0" w:hanging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a2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rozorro.gov.ua/tender/UA-2023-09-14-013466-a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Application>LibreOffice/7.0.4.2$Windows_X86_64 LibreOffice_project/dcf040e67528d9187c66b2379df5ea4407429775</Application>
  <AppVersion>15.0000</AppVersion>
  <Pages>2</Pages>
  <Words>730</Words>
  <Characters>5373</Characters>
  <CharactersWithSpaces>6096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2021-12-03T08:58:00Z</dcterms:created>
  <dc:creator>ugkh5</dc:creator>
  <dc:description/>
  <dc:language>uk-UA</dc:language>
  <cp:lastModifiedBy/>
  <dcterms:modified xsi:type="dcterms:W3CDTF">2023-09-26T09:28:02Z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